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525A88" w14:textId="77777777" w:rsidR="006731C8" w:rsidRDefault="006731C8" w:rsidP="006731C8">
      <w:pPr>
        <w:tabs>
          <w:tab w:val="left" w:pos="1440"/>
        </w:tabs>
        <w:jc w:val="center"/>
        <w:rPr>
          <w:lang w:val="ru-RU"/>
        </w:rPr>
      </w:pPr>
      <w:r>
        <w:rPr>
          <w:lang w:val="ru-RU"/>
        </w:rPr>
        <w:t>ИЗВЕШТАЈ</w:t>
      </w:r>
      <w:bookmarkStart w:id="0" w:name="_GoBack"/>
      <w:bookmarkEnd w:id="0"/>
    </w:p>
    <w:p w14:paraId="1E67D02D" w14:textId="77777777" w:rsidR="006731C8" w:rsidRDefault="006731C8" w:rsidP="006731C8">
      <w:pPr>
        <w:tabs>
          <w:tab w:val="left" w:pos="1440"/>
        </w:tabs>
        <w:jc w:val="center"/>
        <w:rPr>
          <w:lang w:val="ru-RU"/>
        </w:rPr>
      </w:pPr>
      <w:r>
        <w:rPr>
          <w:lang w:val="ru-RU"/>
        </w:rPr>
        <w:t>О СПРОВЕДЕНИМ КОНСУЛТАЦИЈАМА</w:t>
      </w:r>
      <w:r>
        <w:t xml:space="preserve"> У ТОКУ </w:t>
      </w:r>
      <w:r>
        <w:rPr>
          <w:lang w:val="ru-RU"/>
        </w:rPr>
        <w:t xml:space="preserve">ИЗРАДЕ </w:t>
      </w:r>
      <w:r>
        <w:t xml:space="preserve">НАЦРТА </w:t>
      </w:r>
      <w:r>
        <w:rPr>
          <w:lang w:val="ru-RU"/>
        </w:rPr>
        <w:t>ЗАКОНА О СЛУЖБЕНИМ КОНТРОЛАМА</w:t>
      </w:r>
    </w:p>
    <w:p w14:paraId="0FAA0DBE" w14:textId="77777777" w:rsidR="006731C8" w:rsidRDefault="006731C8" w:rsidP="006731C8">
      <w:pPr>
        <w:tabs>
          <w:tab w:val="left" w:pos="1440"/>
        </w:tabs>
      </w:pPr>
    </w:p>
    <w:p w14:paraId="09DDD8C4" w14:textId="77777777" w:rsidR="006731C8" w:rsidRDefault="006731C8" w:rsidP="006731C8">
      <w:pPr>
        <w:tabs>
          <w:tab w:val="left" w:pos="1440"/>
        </w:tabs>
        <w:rPr>
          <w:b/>
        </w:rPr>
      </w:pPr>
      <w:r>
        <w:rPr>
          <w:lang w:val="ru-RU"/>
        </w:rPr>
        <w:tab/>
      </w:r>
      <w:r>
        <w:rPr>
          <w:b/>
        </w:rPr>
        <w:t>1) Одредити циљне групе и заинтересоване стране које је потребно укључити у процес консултација.</w:t>
      </w:r>
    </w:p>
    <w:p w14:paraId="1ED18729" w14:textId="77777777" w:rsidR="006731C8" w:rsidRDefault="006731C8" w:rsidP="006731C8">
      <w:pPr>
        <w:tabs>
          <w:tab w:val="left" w:pos="1440"/>
        </w:tabs>
        <w:ind w:firstLine="720"/>
      </w:pPr>
      <w:r>
        <w:tab/>
        <w:t xml:space="preserve">У току израде Нацрта </w:t>
      </w:r>
      <w:r>
        <w:rPr>
          <w:lang w:val="ru-RU"/>
        </w:rPr>
        <w:t xml:space="preserve">закона о службеним контролама (у даљем тексту: Нацрт закона) </w:t>
      </w:r>
      <w:r>
        <w:t>спроведене су консултације у складу са Законом о планском систему Републике Србије („Службени гласник РС”, број 30/18) и Уредбом о анализи ефеката прописа („Службени гласник РС”, број 20/25).</w:t>
      </w:r>
    </w:p>
    <w:p w14:paraId="673AECF6" w14:textId="77777777" w:rsidR="006731C8" w:rsidRDefault="006731C8" w:rsidP="006731C8">
      <w:pPr>
        <w:tabs>
          <w:tab w:val="left" w:pos="1440"/>
        </w:tabs>
        <w:ind w:firstLine="720"/>
        <w:rPr>
          <w:lang w:val="ru-RU"/>
        </w:rPr>
      </w:pPr>
      <w:r>
        <w:tab/>
        <w:t>О</w:t>
      </w:r>
      <w:r>
        <w:rPr>
          <w:bCs/>
        </w:rPr>
        <w:t>во министарство позвало је представнике државних органа и организација, удружења, привредних субјеката, стручне јавности, као и друге заинтересоване стране да се упознају са текстом радне верзије Нацрта закона.</w:t>
      </w:r>
    </w:p>
    <w:p w14:paraId="5AA174A1" w14:textId="77777777" w:rsidR="006731C8" w:rsidRDefault="006731C8" w:rsidP="006731C8">
      <w:pPr>
        <w:tabs>
          <w:tab w:val="left" w:pos="1440"/>
        </w:tabs>
        <w:rPr>
          <w:b/>
        </w:rPr>
      </w:pPr>
      <w:r>
        <w:rPr>
          <w:b/>
          <w:lang w:val="ru-RU"/>
        </w:rPr>
        <w:tab/>
      </w:r>
      <w:r>
        <w:rPr>
          <w:b/>
        </w:rPr>
        <w:t>2) У ком периоду су спроведене консултације и да ли су релевантне информације о времену и месту примене изабраних метода консултација и њиховим резултатима, објављене на Порталу „еКонсултације”? Навести линк са Портала „еКонсултације” или неке друге интернет странице преко које су спроведене консултације.</w:t>
      </w:r>
    </w:p>
    <w:p w14:paraId="7F042777" w14:textId="77777777" w:rsidR="006731C8" w:rsidRDefault="006731C8" w:rsidP="006731C8">
      <w:pPr>
        <w:tabs>
          <w:tab w:val="left" w:pos="1440"/>
        </w:tabs>
        <w:ind w:firstLine="480"/>
        <w:rPr>
          <w:bCs/>
          <w:lang w:val="sr-Cyrl-RS" w:eastAsia="en-GB"/>
        </w:rPr>
      </w:pPr>
      <w:r>
        <w:rPr>
          <w:b/>
          <w:lang w:val="en-GB" w:eastAsia="en-GB"/>
        </w:rPr>
        <w:tab/>
      </w:r>
      <w:r>
        <w:rPr>
          <w:bCs/>
          <w:lang w:val="en-GB" w:eastAsia="en-GB"/>
        </w:rPr>
        <w:t xml:space="preserve">Консултације су спроведене објављивањем </w:t>
      </w:r>
      <w:r>
        <w:rPr>
          <w:bCs/>
          <w:kern w:val="36"/>
          <w:lang w:val="en-GB" w:eastAsia="sr-Cyrl-RS"/>
        </w:rPr>
        <w:t xml:space="preserve">Oбавештења о отпочињању израде Нацрта закона </w:t>
      </w:r>
      <w:r>
        <w:rPr>
          <w:bCs/>
          <w:lang w:val="en-GB" w:eastAsia="en-GB"/>
        </w:rPr>
        <w:t xml:space="preserve">путем </w:t>
      </w:r>
      <w:r>
        <w:rPr>
          <w:bCs/>
          <w:lang w:val="sr-Cyrl-RS" w:eastAsia="en-GB"/>
        </w:rPr>
        <w:t>Портала</w:t>
      </w:r>
      <w:r>
        <w:rPr>
          <w:bCs/>
          <w:lang w:val="en-GB" w:eastAsia="en-GB"/>
        </w:rPr>
        <w:t xml:space="preserve"> е</w:t>
      </w:r>
      <w:r>
        <w:rPr>
          <w:bCs/>
          <w:lang w:val="sr-Cyrl-RS" w:eastAsia="en-GB"/>
        </w:rPr>
        <w:t>К</w:t>
      </w:r>
      <w:r>
        <w:rPr>
          <w:bCs/>
          <w:lang w:val="en-GB" w:eastAsia="en-GB"/>
        </w:rPr>
        <w:t xml:space="preserve">онсултације и </w:t>
      </w:r>
      <w:r>
        <w:rPr>
          <w:bCs/>
          <w:lang w:val="sr-Cyrl-RS" w:eastAsia="en-GB"/>
        </w:rPr>
        <w:t>интернет странице</w:t>
      </w:r>
      <w:r>
        <w:rPr>
          <w:bCs/>
          <w:lang w:val="en-GB" w:eastAsia="en-GB"/>
        </w:rPr>
        <w:t xml:space="preserve"> Министарства пољопривреде, шумарства и водопривреде</w:t>
      </w:r>
      <w:r>
        <w:rPr>
          <w:bCs/>
          <w:lang w:val="sr-Cyrl-RS" w:eastAsia="en-GB"/>
        </w:rPr>
        <w:t>.</w:t>
      </w:r>
    </w:p>
    <w:p w14:paraId="5D6AFE69" w14:textId="77777777" w:rsidR="006731C8" w:rsidRDefault="006731C8" w:rsidP="006731C8">
      <w:pPr>
        <w:tabs>
          <w:tab w:val="left" w:pos="1440"/>
        </w:tabs>
        <w:ind w:firstLine="709"/>
        <w:rPr>
          <w:lang w:val="sr-Cyrl-RS" w:eastAsia="en-GB"/>
        </w:rPr>
      </w:pPr>
      <w:r>
        <w:rPr>
          <w:lang w:val="en-GB" w:eastAsia="en-GB"/>
        </w:rPr>
        <w:tab/>
        <w:t xml:space="preserve">Линк на Порталу „еКонсултације” је </w:t>
      </w:r>
      <w:hyperlink r:id="rId6" w:history="1">
        <w:r>
          <w:rPr>
            <w:rStyle w:val="Hyperlink"/>
            <w:color w:val="0563C1"/>
            <w:lang w:val="en-GB" w:eastAsia="en-GB"/>
          </w:rPr>
          <w:t>https://ekonsultacije.gov.rs/topicOfDiscussionPage/484/3</w:t>
        </w:r>
      </w:hyperlink>
      <w:r>
        <w:rPr>
          <w:lang w:val="en-GB" w:eastAsia="en-GB"/>
        </w:rPr>
        <w:t xml:space="preserve"> .</w:t>
      </w:r>
    </w:p>
    <w:p w14:paraId="6CAED77C" w14:textId="77777777" w:rsidR="006731C8" w:rsidRDefault="006731C8" w:rsidP="006731C8">
      <w:pPr>
        <w:tabs>
          <w:tab w:val="left" w:pos="1440"/>
        </w:tabs>
        <w:ind w:firstLine="709"/>
        <w:rPr>
          <w:bCs/>
          <w:shd w:val="clear" w:color="auto" w:fill="FFFFFF"/>
          <w:lang w:val="sr-Cyrl-RS" w:eastAsia="en-GB"/>
        </w:rPr>
      </w:pPr>
      <w:r>
        <w:rPr>
          <w:lang w:val="sr-Cyrl-RS" w:eastAsia="en-GB"/>
        </w:rPr>
        <w:tab/>
        <w:t>З</w:t>
      </w:r>
      <w:r>
        <w:rPr>
          <w:bCs/>
          <w:lang w:val="en-GB" w:eastAsia="en-GB"/>
        </w:rPr>
        <w:t xml:space="preserve">аинтересоване стране </w:t>
      </w:r>
      <w:r>
        <w:rPr>
          <w:bCs/>
          <w:lang w:val="sr-Cyrl-RS" w:eastAsia="en-GB"/>
        </w:rPr>
        <w:t xml:space="preserve">могле су да се </w:t>
      </w:r>
      <w:r>
        <w:rPr>
          <w:bCs/>
          <w:lang w:val="en-GB" w:eastAsia="en-GB"/>
        </w:rPr>
        <w:t xml:space="preserve">упознају са текстом радне верзије Нацрта закона и да дају своје коментаре, сугестије и предлоге </w:t>
      </w:r>
      <w:r>
        <w:rPr>
          <w:bCs/>
          <w:lang w:val="sr-Cyrl-RS" w:eastAsia="en-GB"/>
        </w:rPr>
        <w:t xml:space="preserve">и </w:t>
      </w:r>
      <w:r>
        <w:rPr>
          <w:bCs/>
          <w:lang w:val="en-GB" w:eastAsia="en-GB"/>
        </w:rPr>
        <w:t>на e-mail</w:t>
      </w:r>
      <w:r>
        <w:rPr>
          <w:bCs/>
          <w:shd w:val="clear" w:color="auto" w:fill="FFFFFF"/>
          <w:lang w:eastAsia="en-GB"/>
        </w:rPr>
        <w:t xml:space="preserve"> адресу </w:t>
      </w:r>
      <w:hyperlink r:id="rId7" w:history="1">
        <w:r>
          <w:rPr>
            <w:rStyle w:val="Hyperlink"/>
            <w:bCs/>
            <w:color w:val="0563C1"/>
            <w:shd w:val="clear" w:color="auto" w:fill="FFFFFF"/>
            <w:lang w:eastAsia="en-GB"/>
          </w:rPr>
          <w:t>sluzbenekontrole</w:t>
        </w:r>
        <w:r>
          <w:rPr>
            <w:rStyle w:val="Hyperlink"/>
            <w:bCs/>
            <w:color w:val="0563C1"/>
            <w:shd w:val="clear" w:color="auto" w:fill="FFFFFF"/>
            <w:lang w:val="en-GB" w:eastAsia="en-GB"/>
          </w:rPr>
          <w:t>@minpolj.gov.rs</w:t>
        </w:r>
      </w:hyperlink>
      <w:r>
        <w:rPr>
          <w:bCs/>
          <w:shd w:val="clear" w:color="auto" w:fill="FFFFFF"/>
          <w:lang w:val="en-GB" w:eastAsia="en-GB"/>
        </w:rPr>
        <w:t xml:space="preserve"> </w:t>
      </w:r>
      <w:r>
        <w:rPr>
          <w:bCs/>
          <w:shd w:val="clear" w:color="auto" w:fill="FFFFFF"/>
          <w:lang w:val="sr-Cyrl-RS" w:eastAsia="en-GB"/>
        </w:rPr>
        <w:t xml:space="preserve">која је објављена на сајту </w:t>
      </w:r>
      <w:r>
        <w:rPr>
          <w:bCs/>
          <w:lang w:val="en-GB" w:eastAsia="en-GB"/>
        </w:rPr>
        <w:t>Министарства пољопривреде, шумарства и водопривреде</w:t>
      </w:r>
      <w:r>
        <w:rPr>
          <w:bCs/>
          <w:shd w:val="clear" w:color="auto" w:fill="FFFFFF"/>
          <w:lang w:val="en-GB" w:eastAsia="en-GB"/>
        </w:rPr>
        <w:t>.</w:t>
      </w:r>
    </w:p>
    <w:p w14:paraId="0A8DABFB" w14:textId="77777777" w:rsidR="006731C8" w:rsidRDefault="006731C8" w:rsidP="006731C8">
      <w:pPr>
        <w:tabs>
          <w:tab w:val="left" w:pos="1440"/>
        </w:tabs>
        <w:ind w:firstLine="709"/>
        <w:rPr>
          <w:lang w:val="en-GB" w:eastAsia="en-GB"/>
        </w:rPr>
      </w:pPr>
      <w:r>
        <w:rPr>
          <w:bCs/>
          <w:shd w:val="clear" w:color="auto" w:fill="FFFFFF"/>
          <w:lang w:val="sr-Cyrl-RS" w:eastAsia="en-GB"/>
        </w:rPr>
        <w:tab/>
        <w:t>К</w:t>
      </w:r>
      <w:r>
        <w:rPr>
          <w:lang w:val="en-GB" w:eastAsia="en-GB"/>
        </w:rPr>
        <w:t>онсултације су спроведене у периоду од 29. маја до 13. јуна 2025. године</w:t>
      </w:r>
      <w:r>
        <w:rPr>
          <w:lang w:val="sr-Cyrl-RS" w:eastAsia="en-GB"/>
        </w:rPr>
        <w:t>, путем прикупљања коментара</w:t>
      </w:r>
      <w:r>
        <w:rPr>
          <w:lang w:val="en-GB" w:eastAsia="en-GB"/>
        </w:rPr>
        <w:t>.</w:t>
      </w:r>
    </w:p>
    <w:p w14:paraId="780B8071" w14:textId="77777777" w:rsidR="006731C8" w:rsidRDefault="006731C8" w:rsidP="006731C8">
      <w:pPr>
        <w:tabs>
          <w:tab w:val="left" w:pos="1440"/>
        </w:tabs>
        <w:ind w:firstLine="709"/>
        <w:rPr>
          <w:bCs/>
          <w:lang w:val="en-GB" w:eastAsia="en-GB"/>
        </w:rPr>
      </w:pPr>
      <w:r>
        <w:rPr>
          <w:lang w:val="sr-Cyrl-RS" w:eastAsia="en-GB"/>
        </w:rPr>
        <w:tab/>
        <w:t>Напомињемо да смо узели у обзир и коментаре пристигле после наведеног периода.</w:t>
      </w:r>
    </w:p>
    <w:p w14:paraId="6C4B5B18" w14:textId="77777777" w:rsidR="006731C8" w:rsidRDefault="006731C8" w:rsidP="006731C8">
      <w:pPr>
        <w:tabs>
          <w:tab w:val="left" w:pos="1440"/>
        </w:tabs>
        <w:ind w:firstLine="480"/>
        <w:rPr>
          <w:b/>
          <w:lang w:val="sr-Cyrl-RS"/>
        </w:rPr>
      </w:pPr>
      <w:r>
        <w:rPr>
          <w:lang w:val="ru-RU" w:eastAsia="en-GB"/>
        </w:rPr>
        <w:tab/>
      </w:r>
      <w:r>
        <w:rPr>
          <w:b/>
          <w:lang w:val="ru-RU" w:eastAsia="en-GB"/>
        </w:rPr>
        <w:t>3</w:t>
      </w:r>
      <w:r>
        <w:rPr>
          <w:b/>
          <w:lang w:val="en-GB" w:eastAsia="en-GB"/>
        </w:rPr>
        <w:t>)</w:t>
      </w:r>
      <w:r>
        <w:rPr>
          <w:b/>
          <w:lang w:val="ru-RU" w:eastAsia="en-GB"/>
        </w:rPr>
        <w:t xml:space="preserve"> </w:t>
      </w:r>
      <w:r>
        <w:rPr>
          <w:b/>
          <w:lang w:val="sr-Cyrl-RS"/>
        </w:rPr>
        <w:t>Навести циљне групе и заинтересоване стране које су учествовале у консултацијама и њихов број.</w:t>
      </w:r>
    </w:p>
    <w:p w14:paraId="21F2A53A" w14:textId="77777777" w:rsidR="006731C8" w:rsidRDefault="006731C8" w:rsidP="006731C8">
      <w:pPr>
        <w:tabs>
          <w:tab w:val="left" w:pos="1440"/>
        </w:tabs>
        <w:ind w:firstLine="720"/>
      </w:pPr>
      <w:r>
        <w:tab/>
        <w:t>Учесници консултативног процеса били су:</w:t>
      </w:r>
    </w:p>
    <w:p w14:paraId="74B95F22" w14:textId="77777777" w:rsidR="006731C8" w:rsidRDefault="006731C8" w:rsidP="006731C8">
      <w:pPr>
        <w:keepNext/>
        <w:keepLines/>
        <w:tabs>
          <w:tab w:val="left" w:pos="1440"/>
        </w:tabs>
        <w:ind w:firstLine="720"/>
      </w:pPr>
      <w:r>
        <w:tab/>
        <w:t>1) Марко Јауковић, Академија струковних студија Политехника;</w:t>
      </w:r>
    </w:p>
    <w:p w14:paraId="06839CFB" w14:textId="77777777" w:rsidR="006731C8" w:rsidRDefault="006731C8" w:rsidP="006731C8">
      <w:pPr>
        <w:keepNext/>
        <w:keepLines/>
        <w:tabs>
          <w:tab w:val="left" w:pos="1440"/>
        </w:tabs>
        <w:ind w:firstLine="720"/>
      </w:pPr>
      <w:r>
        <w:tab/>
        <w:t>2) Привредна комора Србије – Сектор удружења привреде;</w:t>
      </w:r>
    </w:p>
    <w:p w14:paraId="022A05F4" w14:textId="77777777" w:rsidR="006731C8" w:rsidRDefault="006731C8" w:rsidP="006731C8">
      <w:pPr>
        <w:keepNext/>
        <w:keepLines/>
        <w:tabs>
          <w:tab w:val="left" w:pos="1440"/>
        </w:tabs>
        <w:ind w:firstLine="720"/>
      </w:pPr>
      <w:r>
        <w:tab/>
        <w:t>3) Привредна комора Србије – Lidl.</w:t>
      </w:r>
    </w:p>
    <w:p w14:paraId="21332108" w14:textId="77777777" w:rsidR="006731C8" w:rsidRDefault="006731C8" w:rsidP="006731C8">
      <w:pPr>
        <w:tabs>
          <w:tab w:val="left" w:pos="1440"/>
        </w:tabs>
        <w:ind w:firstLine="720"/>
      </w:pPr>
      <w:r>
        <w:tab/>
        <w:t>Учествовали су Верица Раичевић Петровић, агроном у пензији, Милан Видојевић - Винарија „Мозаик Милан” и Биљана Стокућа. Међутим, њихове сугестије се нису односиле на текст Нацрт закона, тако да нису узете у обзир приликом припреме овог извештаја.</w:t>
      </w:r>
    </w:p>
    <w:p w14:paraId="4186FD03" w14:textId="77777777" w:rsidR="006731C8" w:rsidRDefault="006731C8" w:rsidP="006731C8">
      <w:pPr>
        <w:tabs>
          <w:tab w:val="left" w:pos="1440"/>
        </w:tabs>
        <w:rPr>
          <w:b/>
        </w:rPr>
      </w:pPr>
      <w:r>
        <w:rPr>
          <w:b/>
          <w:lang w:val="ru-RU"/>
        </w:rPr>
        <w:tab/>
        <w:t xml:space="preserve">4) </w:t>
      </w:r>
      <w:r>
        <w:rPr>
          <w:b/>
        </w:rPr>
        <w:t>Да ли су у консултације укључени представници микро, малих и средњих привредних субјеката из регулисане области и осетљиве друштвене групе на које пропис утиче, представници удружења која се баве заштитом животне средине, као и представници удружења који се баве родном равноправношћу?</w:t>
      </w:r>
    </w:p>
    <w:p w14:paraId="72A5230B" w14:textId="77777777" w:rsidR="006731C8" w:rsidRDefault="006731C8" w:rsidP="006731C8">
      <w:pPr>
        <w:tabs>
          <w:tab w:val="left" w:pos="1440"/>
        </w:tabs>
      </w:pPr>
      <w:r>
        <w:lastRenderedPageBreak/>
        <w:tab/>
        <w:t>Сва заинтересована лица могла су равноправно да учествују у консултативном процесу. Такође, путем друштвених мрежа (вибер, инстаграм и сл) позивана је заинтерсована јавност да узме учешћа у консултативном процесу.</w:t>
      </w:r>
    </w:p>
    <w:p w14:paraId="443E5DB9" w14:textId="77777777" w:rsidR="006731C8" w:rsidRDefault="006731C8" w:rsidP="006731C8">
      <w:pPr>
        <w:tabs>
          <w:tab w:val="left" w:pos="1440"/>
        </w:tabs>
        <w:ind w:firstLine="720"/>
        <w:rPr>
          <w:bCs/>
        </w:rPr>
      </w:pPr>
      <w:r>
        <w:rPr>
          <w:b/>
          <w:lang w:val="ru-RU"/>
        </w:rPr>
        <w:tab/>
        <w:t xml:space="preserve">5) </w:t>
      </w:r>
      <w:r>
        <w:rPr>
          <w:b/>
        </w:rPr>
        <w:t>Наведите примедбе, сугестије и коментаре на текст прописа, достављене у току консултација које су усвојене.</w:t>
      </w:r>
    </w:p>
    <w:p w14:paraId="279E5E72" w14:textId="77777777" w:rsidR="006731C8" w:rsidRDefault="006731C8" w:rsidP="006731C8">
      <w:pPr>
        <w:tabs>
          <w:tab w:val="left" w:pos="1440"/>
        </w:tabs>
        <w:ind w:firstLine="720"/>
      </w:pPr>
      <w:r>
        <w:tab/>
        <w:t>(1) Предлог да се дефинише појам пољопривредно-прехрамбени ланац се делимично прихвата, с обзиром да Уредба (ЕУ) о службеним контролама 2017/625 не сад</w:t>
      </w:r>
      <w:r>
        <w:rPr>
          <w:lang w:val="sr-Cyrl-RS"/>
        </w:rPr>
        <w:t>р</w:t>
      </w:r>
      <w:r>
        <w:t>жи тај појам као дефиницију. Ради појашњења, у члану 2. Нацрта закона после речи: „у пољопривредно-прехрамбеном ланцу” додају се речи: „у свим фазама производње, прераде и дистрибуције животиња и робе на које се овај закон примењује”, имајући у виду да се Уредба (ЕУ) 2017/625 односи на законодавство о пољопривредно-прехрамбеном ланцу, односно на области наведене у члану 3. Нацрта закона.</w:t>
      </w:r>
    </w:p>
    <w:p w14:paraId="019A05E6" w14:textId="77777777" w:rsidR="006731C8" w:rsidRDefault="006731C8" w:rsidP="006731C8">
      <w:pPr>
        <w:keepNext/>
        <w:keepLines/>
        <w:tabs>
          <w:tab w:val="left" w:pos="1440"/>
        </w:tabs>
        <w:ind w:firstLine="720"/>
      </w:pPr>
      <w:r>
        <w:tab/>
        <w:t>(2) У члану 63. став 2. Нацрта закона предложено је да се пропише ко организује међулабораторијска испитивања у којима је лабораторија дужна да учествује. Сугестија се прихвата тако што се у члану 63. став 2. Нацрта закона, после речи: „дужна је да” додају запета и речи: „на захтев референтне лабораторије,”.</w:t>
      </w:r>
    </w:p>
    <w:p w14:paraId="0CE0EACD" w14:textId="77777777" w:rsidR="006731C8" w:rsidRDefault="006731C8" w:rsidP="006731C8">
      <w:pPr>
        <w:tabs>
          <w:tab w:val="left" w:pos="1440"/>
        </w:tabs>
        <w:ind w:firstLine="720"/>
      </w:pPr>
      <w:r>
        <w:tab/>
        <w:t xml:space="preserve">(3) У делу казнених одредаба (чл. 88. и 89), предложено је да се пропише казна за превару. Предложено се делимично прихавта из разлога што у мерама које налаже надлежни инспектор (чл. 85. и 86. Нацрта закона) ће се прописати могућност да надлежни инспектор </w:t>
      </w:r>
      <w:r>
        <w:rPr>
          <w:bCs/>
          <w:lang w:eastAsia="sr-Cyrl-RS"/>
        </w:rPr>
        <w:t>може поднети захтев за покретање кривичног поступка због кршења одредаба овог закона и прописа донетих на основу њега, а на основу</w:t>
      </w:r>
      <w:r>
        <w:t xml:space="preserve"> Кривичног законика („Службени гласник РС”, бр. 85/05, 88/05-исправка, 107/05-исправка, 72/09, 111/09, 121/12, 104/13, 108/14, 94/16, 35/19, 94/24), којим је прописано кривично дело превара (члан 208. тог законика).</w:t>
      </w:r>
    </w:p>
    <w:p w14:paraId="2B9C6E53" w14:textId="77777777" w:rsidR="006731C8" w:rsidRDefault="006731C8" w:rsidP="006731C8">
      <w:pPr>
        <w:keepNext/>
        <w:keepLines/>
        <w:tabs>
          <w:tab w:val="left" w:pos="1440"/>
        </w:tabs>
        <w:ind w:firstLine="720"/>
      </w:pPr>
      <w:r>
        <w:tab/>
        <w:t>(4) У делу усклађивања са правним тековинама Европске уније (члан 90), предложено је да је потребно ажурирати прописе Европске уније. Предложено се прихвата, с обзиром да су при изради Нацрта закона консултоване све измене Уредбе (ЕУ) 2017/625 закључно са</w:t>
      </w:r>
      <w:r>
        <w:rPr>
          <w:iCs/>
        </w:rPr>
        <w:t xml:space="preserve"> Уредбом (ЕУ) Европског парламента и Савета број 2024/3115 од 27. новембра 2024. године којом је Уредба (ЕУ) 2017/625 измењена и допуњена у погледу одређених обавештења о неусаглашености (ОЈ L</w:t>
      </w:r>
      <w:r>
        <w:rPr>
          <w:iCs/>
          <w:lang w:val="sr-Cyrl-RS"/>
        </w:rPr>
        <w:t xml:space="preserve"> 3115</w:t>
      </w:r>
      <w:r>
        <w:rPr>
          <w:iCs/>
        </w:rPr>
        <w:t>, 16. 12. 2024, стр. 1), те ће тако бити и додато у члану 90. Нацрта закона.</w:t>
      </w:r>
    </w:p>
    <w:p w14:paraId="2B413FCE" w14:textId="77777777" w:rsidR="006731C8" w:rsidRDefault="006731C8" w:rsidP="006731C8">
      <w:pPr>
        <w:tabs>
          <w:tab w:val="left" w:pos="1440"/>
        </w:tabs>
        <w:rPr>
          <w:b/>
        </w:rPr>
      </w:pPr>
      <w:r>
        <w:rPr>
          <w:b/>
          <w:lang w:val="ru-RU"/>
        </w:rPr>
        <w:tab/>
        <w:t xml:space="preserve">6) </w:t>
      </w:r>
      <w:r>
        <w:rPr>
          <w:b/>
        </w:rPr>
        <w:t>Наведите примедбе, сугестије и коментаре на текст прописа, достављене у току консултација које нису усвојене и објаснити разлоге за њихово неприхватање.</w:t>
      </w:r>
    </w:p>
    <w:p w14:paraId="01399546" w14:textId="77777777" w:rsidR="006731C8" w:rsidRDefault="006731C8" w:rsidP="006731C8">
      <w:pPr>
        <w:tabs>
          <w:tab w:val="left" w:pos="1440"/>
        </w:tabs>
      </w:pPr>
      <w:r>
        <w:rPr>
          <w:b/>
        </w:rPr>
        <w:tab/>
      </w:r>
      <w:r>
        <w:t>(1) Општа напомена да није довољно јасан предмет Нацрта закона не може се прихватити, с обзиром на то да је чланом 1. Нацрта закона прописано да се овим законом уређује спровођење службених контрола и других службених активности у пољопривредно-прехрамбеном ланцу.</w:t>
      </w:r>
    </w:p>
    <w:p w14:paraId="19204894" w14:textId="77777777" w:rsidR="006731C8" w:rsidRDefault="006731C8" w:rsidP="006731C8">
      <w:pPr>
        <w:tabs>
          <w:tab w:val="left" w:pos="1440"/>
        </w:tabs>
        <w:ind w:firstLine="720"/>
      </w:pPr>
      <w:r>
        <w:tab/>
        <w:t>Надаље, у Нацрту закона у члану 3. прописано је подручје примене овог закона, и то да се примењује на службене контроле ради провере усаглашености са прописима којима се уређују области: хране и хране за животиње, здравља и добробити животиња, генетички модификованих организама, споредних производа животињског порекла и добијених производа, органске производње и означавање органских производа, средстава за заштиту биља, здравља биља и употребе и означавања производа заштићеним ознакама географског порекла и ознакама гарантовано традиционалних специјалитета, као и традиционалним изразима у сектору вина.</w:t>
      </w:r>
    </w:p>
    <w:p w14:paraId="068D230F" w14:textId="77777777" w:rsidR="006731C8" w:rsidRDefault="006731C8" w:rsidP="006731C8">
      <w:pPr>
        <w:tabs>
          <w:tab w:val="left" w:pos="1440"/>
        </w:tabs>
      </w:pPr>
      <w:r>
        <w:tab/>
        <w:t xml:space="preserve">(2) Напомена да је област здравља биља и средстава за заштиту биља изостављен из Нацрта закона не може се прихватити, имајући у виду, примера ради, члан 3. тач. 7) и 8), као и чл. 7, 10, 11, 15, 17, 29, 29, 32, 34, 42, 43, 46-50, 54, 55, 60, 63. </w:t>
      </w:r>
      <w:r>
        <w:rPr>
          <w:iCs/>
        </w:rPr>
        <w:t>Нацрта закона.</w:t>
      </w:r>
    </w:p>
    <w:p w14:paraId="6F86B024" w14:textId="77777777" w:rsidR="006731C8" w:rsidRDefault="006731C8" w:rsidP="006731C8">
      <w:pPr>
        <w:tabs>
          <w:tab w:val="left" w:pos="1440"/>
        </w:tabs>
      </w:pPr>
      <w:r>
        <w:tab/>
        <w:t xml:space="preserve">(3) Напомена да дефиниције морају бити кориговане са важећом верзијом Уредбе 2017/625 од 5. јануара 2025. године указујемо да се у овом случају ради о консолидованој верзији Уредбе. Консолидоване верзије не представљају правно обавезујуће акте и у консолидованим верзијама стоји упозорење следеће садржине: „Овај текст је намењен искључиво као алат за документацију и нема правну снагу. Институције Уније не преузимају никакву одговорност за његов садржај. Аутентичне верзије релевантних аката, укључујући њихове преамбуле, су оне објављене у „Службеном листу Европске уније” и доступне у EUR-Lex. Ти званични текстови су директно доступни преко линкова уграђених у овом документу.” </w:t>
      </w:r>
    </w:p>
    <w:p w14:paraId="1D20500A" w14:textId="77777777" w:rsidR="006731C8" w:rsidRDefault="006731C8" w:rsidP="006731C8">
      <w:pPr>
        <w:tabs>
          <w:tab w:val="left" w:pos="1440"/>
        </w:tabs>
      </w:pPr>
      <w:r>
        <w:tab/>
        <w:t>(4) Сугестија да се уведу појмови „закон о храни” и „закон о храни за животиње” се не може прихватити, с обзиром на то да је у Нацрту закона јасно прописано, у одредбама које се односе на подручје примене закона, да се овај закон примењују и на прописе (законе) којима се уређују области хране и безбедности хране, као и хране за животиње. Такође, у дефиницијама се користе појмови који се употребљавају у овом закону, а појмови „закон о храни” и „закон о храни за животиње” се не користе у Нацрту закона.</w:t>
      </w:r>
    </w:p>
    <w:p w14:paraId="7BAB45F4" w14:textId="77777777" w:rsidR="006731C8" w:rsidRDefault="006731C8" w:rsidP="006731C8">
      <w:pPr>
        <w:tabs>
          <w:tab w:val="left" w:pos="1440"/>
        </w:tabs>
        <w:ind w:firstLine="720"/>
      </w:pPr>
      <w:r>
        <w:tab/>
        <w:t>Напомињемо, да је Нацртом закона о безбедности хране прописана дефиниција „прописи о храни” и да се тај појам даље користи у тексту тог закона.</w:t>
      </w:r>
    </w:p>
    <w:p w14:paraId="74A795ED" w14:textId="77777777" w:rsidR="006731C8" w:rsidRDefault="006731C8" w:rsidP="006731C8">
      <w:pPr>
        <w:tabs>
          <w:tab w:val="left" w:pos="1440"/>
        </w:tabs>
      </w:pPr>
      <w:r>
        <w:tab/>
        <w:t>(5) У вези са констатацијом да „Нацрт није само усаглашавање са правним тековинама ЕУ, већ се кроз систем службених контрола на транспарентан начин осигурава висок ниво здравља људи, животиња и биља, те добробит животиња у целом пољопривредно-прехрамбеном ланцу, али и у свим областима у којима је главни циљ борба против могућег ширења болести животиња, које су у неким случајевима штетне по здравље људи, али и заштита здравља биља и безбедност биљних производа, на крају утицај на животну средину”, указујемо да се из одредаба Нацрта закона постижу наведени циљеви, да се осигурава висок ниво здравља људи, животиња и биља, те добробит животиња, борба против могућег ширења болести животиња, као и заштита здравља биља и безбедност биљних производа, на крају и заштита животне средине (нпр. чл. 7,8, 11, 12, 16, 23 – 30, 32, 42, 43, 46 – 51. Нацрта закона).</w:t>
      </w:r>
    </w:p>
    <w:p w14:paraId="5C2FA1B4" w14:textId="77777777" w:rsidR="006731C8" w:rsidRDefault="006731C8" w:rsidP="006731C8">
      <w:pPr>
        <w:tabs>
          <w:tab w:val="left" w:pos="1440"/>
        </w:tabs>
        <w:rPr>
          <w:bCs/>
          <w:lang w:val="sr-Cyrl-CS"/>
        </w:rPr>
      </w:pPr>
      <w:r>
        <w:tab/>
        <w:t>(6) Примедба на члан 4. Нацрта закона која се односи на прецизирање прописа у којем су дефинисани тржишни стандарди, као и ветеринарски медицински производи</w:t>
      </w:r>
      <w:r>
        <w:rPr>
          <w:bCs/>
          <w:lang w:val="sr-Cyrl-CS"/>
        </w:rPr>
        <w:t xml:space="preserve"> </w:t>
      </w:r>
      <w:r>
        <w:rPr>
          <w:bCs/>
        </w:rPr>
        <w:t>се не</w:t>
      </w:r>
      <w:r>
        <w:rPr>
          <w:bCs/>
          <w:lang w:val="sr-Cyrl-CS"/>
        </w:rPr>
        <w:t xml:space="preserve"> прихвата, с обзиром да су тржишни стандарди уређени Законом о уређењу тржишта пољопривредних производа („Службени гласник РС”, број 67/21), а ветеринарско медицински производи су предмет уређења новог закона којим се уређују ветеринарско медицински производи.</w:t>
      </w:r>
    </w:p>
    <w:p w14:paraId="2A5B52EE" w14:textId="77777777" w:rsidR="006731C8" w:rsidRDefault="006731C8" w:rsidP="006731C8">
      <w:pPr>
        <w:tabs>
          <w:tab w:val="left" w:pos="1440"/>
        </w:tabs>
        <w:rPr>
          <w:bCs/>
        </w:rPr>
      </w:pPr>
      <w:r>
        <w:tab/>
        <w:t>(7) Предложено је да се коригују дефиниције у члану 5. Нацрта закона, и то: хране, хране за животиње, ветеринрско медицински производ и добијени производи</w:t>
      </w:r>
      <w:r>
        <w:rPr>
          <w:bCs/>
        </w:rPr>
        <w:t>. Предложене измене дефиниција у члану 5. Нацрта закона нису прихваћене.</w:t>
      </w:r>
    </w:p>
    <w:p w14:paraId="0C893474" w14:textId="77777777" w:rsidR="006731C8" w:rsidRDefault="006731C8" w:rsidP="006731C8">
      <w:pPr>
        <w:tabs>
          <w:tab w:val="left" w:pos="1440"/>
        </w:tabs>
        <w:rPr>
          <w:bCs/>
        </w:rPr>
      </w:pPr>
      <w:r>
        <w:rPr>
          <w:bCs/>
        </w:rPr>
        <w:tab/>
        <w:t xml:space="preserve">Појмови „храна” и „храна за животиње” су дефинисани Уредбом </w:t>
      </w:r>
      <w:r>
        <w:rPr>
          <w:lang w:val="ru-RU"/>
        </w:rPr>
        <w:t>(ЕУ) 2017/625</w:t>
      </w:r>
      <w:r>
        <w:rPr>
          <w:bCs/>
        </w:rPr>
        <w:t xml:space="preserve"> и усклађени са њом и исти се не могу заменити појмовима „закон о храни” и „закон о храни за животиње”.</w:t>
      </w:r>
    </w:p>
    <w:p w14:paraId="06ADFE44" w14:textId="77777777" w:rsidR="006731C8" w:rsidRDefault="006731C8" w:rsidP="006731C8">
      <w:pPr>
        <w:tabs>
          <w:tab w:val="left" w:pos="1440"/>
        </w:tabs>
        <w:ind w:firstLine="720"/>
        <w:rPr>
          <w:bCs/>
        </w:rPr>
      </w:pPr>
      <w:r>
        <w:rPr>
          <w:bCs/>
        </w:rPr>
        <w:tab/>
        <w:t>Појам „ветеринарско медицински производ” је предмет уређења новог закона којим ће се уредити ветеринарско медицински производи.</w:t>
      </w:r>
    </w:p>
    <w:p w14:paraId="5C002C0D" w14:textId="77777777" w:rsidR="006731C8" w:rsidRDefault="006731C8" w:rsidP="006731C8">
      <w:pPr>
        <w:tabs>
          <w:tab w:val="left" w:pos="1440"/>
        </w:tabs>
        <w:ind w:firstLine="720"/>
        <w:rPr>
          <w:bCs/>
        </w:rPr>
      </w:pPr>
      <w:r>
        <w:rPr>
          <w:bCs/>
        </w:rPr>
        <w:tab/>
        <w:t>Појам „добијени производи” су термин који се користи у прописима на снази. Добијени производи јесу производи добијени из једног или више третмана, трансформација или фаза у преради споредних производа животињског порекла свих категорија, и Категорије 1, Категорије 2 и Категорије 3 споредних производа животињског порекла.</w:t>
      </w:r>
    </w:p>
    <w:p w14:paraId="0DA6D527" w14:textId="77777777" w:rsidR="006731C8" w:rsidRDefault="006731C8" w:rsidP="006731C8">
      <w:pPr>
        <w:tabs>
          <w:tab w:val="left" w:pos="1440"/>
        </w:tabs>
        <w:rPr>
          <w:bCs/>
        </w:rPr>
      </w:pPr>
      <w:r>
        <w:tab/>
        <w:t>(8) Примедба да се допуни члан 6. Нацрта закона, тако да се надлежни орган односи и на било који други орган власти коме је та одговорност додељена не може се прихватити, с обзиром да је одговорност других државних органа који могу да спроводе службену контролу прописана посебним законима у областима на које се Нацрт закона примењује</w:t>
      </w:r>
      <w:r>
        <w:rPr>
          <w:bCs/>
        </w:rPr>
        <w:t>.</w:t>
      </w:r>
    </w:p>
    <w:p w14:paraId="544BF842" w14:textId="77777777" w:rsidR="006731C8" w:rsidRDefault="006731C8" w:rsidP="006731C8">
      <w:pPr>
        <w:tabs>
          <w:tab w:val="left" w:pos="1440"/>
        </w:tabs>
        <w:rPr>
          <w:lang w:val="sr-Cyrl-RS"/>
        </w:rPr>
      </w:pPr>
      <w:r>
        <w:rPr>
          <w:bCs/>
        </w:rPr>
        <w:tab/>
      </w:r>
      <w:r>
        <w:rPr>
          <w:lang w:val="sr-Cyrl-RS"/>
        </w:rPr>
        <w:t>(9) Примедба да се у члану 11. Нацрта закона прецизно дефинише методологија процене ризика на основу које се спроводи службенa контрола, чиме би се утицало на ефикасније коришћење ресурса и смањење оптерећења за одговорне субјекте не може се прихватити, с обзиром да су Нацртом закона, у члану 11, одређени критеријуми који се узимају у обзир при одређивању ризика, као и критеријуми који се узимају у обзир при одређивању учесталости спровођења службене контроле. Критеријуми се ближе прописују годишњим планом службених контрола за сваку област на коју се Нацрт закона примењује.</w:t>
      </w:r>
    </w:p>
    <w:p w14:paraId="017FD392" w14:textId="77777777" w:rsidR="006731C8" w:rsidRDefault="006731C8" w:rsidP="006731C8">
      <w:pPr>
        <w:tabs>
          <w:tab w:val="left" w:pos="1440"/>
        </w:tabs>
      </w:pPr>
      <w:r>
        <w:rPr>
          <w:b/>
        </w:rPr>
        <w:tab/>
      </w:r>
      <w:r>
        <w:rPr>
          <w:bCs/>
        </w:rPr>
        <w:t>(10) Примедба да се члан 19. став 1. тачка 5) Нацрта закона допуни речима: „акредитовано од стране Акредитационог</w:t>
      </w:r>
      <w:r>
        <w:t xml:space="preserve"> тела Србије” се не прихвата, с обзиром на то да утврђивање да ли </w:t>
      </w:r>
      <w:r>
        <w:rPr>
          <w:bCs/>
        </w:rPr>
        <w:t>тело испуњава захтеве одговарајућих српских стандарда и поступак</w:t>
      </w:r>
      <w:r>
        <w:t xml:space="preserve"> акредитације предмет Закона о акредитацији </w:t>
      </w:r>
      <w:r>
        <w:rPr>
          <w:bCs/>
          <w:lang w:val="sr-Cyrl-CS"/>
        </w:rPr>
        <w:t>(„Службени гласник РС”, бр. 73/10 и 47/21).</w:t>
      </w:r>
    </w:p>
    <w:p w14:paraId="1FE4487B" w14:textId="77777777" w:rsidR="006731C8" w:rsidRDefault="006731C8" w:rsidP="006731C8">
      <w:pPr>
        <w:tabs>
          <w:tab w:val="left" w:pos="1440"/>
        </w:tabs>
      </w:pPr>
      <w:r>
        <w:rPr>
          <w:b/>
        </w:rPr>
        <w:tab/>
      </w:r>
      <w:r>
        <w:t>(11) У члану 23. Нацрта закона примедбе се односе на то да треба прописати минималну учесталост службених контрола производње меса, као и да се дода нови члан како би се прописало да се службена контрола у области млекарства и рибарства спроводи у складу са прописима из тих области.</w:t>
      </w:r>
    </w:p>
    <w:p w14:paraId="13BD5241" w14:textId="77777777" w:rsidR="006731C8" w:rsidRDefault="006731C8" w:rsidP="006731C8">
      <w:pPr>
        <w:tabs>
          <w:tab w:val="left" w:pos="1440"/>
        </w:tabs>
        <w:ind w:firstLine="720"/>
      </w:pPr>
      <w:r>
        <w:tab/>
        <w:t>Предложено се не може прихватити, с обзиром на то да службене контроле производње меса захтевају редовно присуство службеног ветеринара, где је службени ветеринар стално присутан у објекту за клање, стога се не прописује минималана учесталост контроле производње меса, а што ће се ближе прописати подзаконским прописом на основу овлашћења из члана 23. став 7. Нацрта закона.</w:t>
      </w:r>
    </w:p>
    <w:p w14:paraId="61095619" w14:textId="77777777" w:rsidR="006731C8" w:rsidRDefault="006731C8" w:rsidP="006731C8">
      <w:pPr>
        <w:tabs>
          <w:tab w:val="left" w:pos="1440"/>
        </w:tabs>
        <w:ind w:firstLine="720"/>
      </w:pPr>
      <w:r>
        <w:tab/>
        <w:t>Захтеви за производе млекарства и рибарства, као производа животињског порекла намењених за исхрану људи, уређени су прописима из области безбедности хране, а службене контроле тих производа прописане су Нацртом закона.</w:t>
      </w:r>
    </w:p>
    <w:p w14:paraId="3E38F468" w14:textId="77777777" w:rsidR="006731C8" w:rsidRDefault="006731C8" w:rsidP="006731C8">
      <w:pPr>
        <w:tabs>
          <w:tab w:val="left" w:pos="1440"/>
        </w:tabs>
        <w:ind w:firstLine="720"/>
      </w:pPr>
      <w:r>
        <w:tab/>
        <w:t xml:space="preserve">(12) У члану 26. став 6. Нацрта закона предложено је да се прецезира који надлежни инспектор може забранити дуго путовање животиња, промену превозног средства или проверу усглашености повезаних поступака превоза. Предложено се не прихвата, с обзиром на то да је то прописано Законом о добробити животиња </w:t>
      </w:r>
      <w:r>
        <w:rPr>
          <w:bCs/>
          <w:lang w:val="sr-Cyrl-CS"/>
        </w:rPr>
        <w:t>(„Службени гласник РС”, број 41/09)</w:t>
      </w:r>
      <w:r>
        <w:t>, а одредбе Нацрта закона се, између осталих, примењују и на област добробити животиња, односно службеним контролама се проверава усаглашеност са захтевима прописаним у Закону о добробити животиња. Контролу превоза животиња врши ветеринарски инспектор, односно гранични ветеринарски инспектор што је и прописано Законом о добробити животиња.</w:t>
      </w:r>
    </w:p>
    <w:p w14:paraId="2A050A8E" w14:textId="77777777" w:rsidR="006731C8" w:rsidRDefault="006731C8" w:rsidP="006731C8">
      <w:pPr>
        <w:tabs>
          <w:tab w:val="left" w:pos="1440"/>
        </w:tabs>
        <w:ind w:firstLine="720"/>
      </w:pPr>
      <w:r>
        <w:rPr>
          <w:bCs/>
        </w:rPr>
        <w:tab/>
        <w:t xml:space="preserve">Такође, предложено је да се дефинише план превоза/дневник путовања што се не прихвата. Појам „план превоза” је предмет уређења Закона о добробити животиња и посебног прописа који се тиче превоза животиња, који је сада ближе уређен Правилником о oбрасцу и садржини плана превоза, као и начину превоза животиња којим се обезбеђује заштита живота и добробити животиња </w:t>
      </w:r>
      <w:r>
        <w:rPr>
          <w:bCs/>
          <w:lang w:val="sr-Cyrl-CS"/>
        </w:rPr>
        <w:t>(„Службени гласник РС”, број</w:t>
      </w:r>
      <w:r>
        <w:rPr>
          <w:bCs/>
        </w:rPr>
        <w:t xml:space="preserve"> 48/11).</w:t>
      </w:r>
    </w:p>
    <w:p w14:paraId="1E72BC16" w14:textId="77777777" w:rsidR="006731C8" w:rsidRDefault="006731C8" w:rsidP="006731C8">
      <w:pPr>
        <w:tabs>
          <w:tab w:val="left" w:pos="1440"/>
        </w:tabs>
        <w:ind w:firstLine="720"/>
        <w:rPr>
          <w:lang w:val="sr-Cyrl-RS"/>
        </w:rPr>
      </w:pPr>
      <w:r>
        <w:tab/>
        <w:t>(1</w:t>
      </w:r>
      <w:r>
        <w:rPr>
          <w:lang w:val="sr-Cyrl-RS"/>
        </w:rPr>
        <w:t>3</w:t>
      </w:r>
      <w:r>
        <w:t xml:space="preserve">) </w:t>
      </w:r>
      <w:r>
        <w:rPr>
          <w:lang w:val="sr-Cyrl-RS"/>
        </w:rPr>
        <w:t>Предложено је да се ч</w:t>
      </w:r>
      <w:r>
        <w:t>л. 34. и 44. Нацрта закона пре</w:t>
      </w:r>
      <w:r>
        <w:rPr>
          <w:lang w:val="sr-Cyrl-RS"/>
        </w:rPr>
        <w:t>ц</w:t>
      </w:r>
      <w:r>
        <w:t>изира</w:t>
      </w:r>
      <w:r>
        <w:rPr>
          <w:lang w:val="sr-Cyrl-RS"/>
        </w:rPr>
        <w:t>ју</w:t>
      </w:r>
      <w:r>
        <w:t xml:space="preserve">, </w:t>
      </w:r>
      <w:r>
        <w:rPr>
          <w:lang w:val="sr-Cyrl-RS"/>
        </w:rPr>
        <w:t xml:space="preserve">односно да се </w:t>
      </w:r>
      <w:r>
        <w:t>одред</w:t>
      </w:r>
      <w:r>
        <w:rPr>
          <w:lang w:val="sr-Cyrl-RS"/>
        </w:rPr>
        <w:t>е</w:t>
      </w:r>
      <w:r>
        <w:t xml:space="preserve"> критеријум</w:t>
      </w:r>
      <w:r>
        <w:rPr>
          <w:lang w:val="sr-Cyrl-RS"/>
        </w:rPr>
        <w:t>и</w:t>
      </w:r>
      <w:r>
        <w:t xml:space="preserve"> за службено задржавање на </w:t>
      </w:r>
      <w:r>
        <w:rPr>
          <w:lang w:val="sr-Cyrl-RS"/>
        </w:rPr>
        <w:t>граничном контролном месту</w:t>
      </w:r>
      <w:r>
        <w:t xml:space="preserve"> пошиљке брзо кварљиве робе</w:t>
      </w:r>
      <w:r>
        <w:rPr>
          <w:lang w:val="sr-Cyrl-RS"/>
        </w:rPr>
        <w:t xml:space="preserve">. </w:t>
      </w:r>
      <w:r>
        <w:t xml:space="preserve">Предложено </w:t>
      </w:r>
      <w:r>
        <w:rPr>
          <w:lang w:val="sr-Cyrl-RS"/>
        </w:rPr>
        <w:t xml:space="preserve">се не прихвата, с обзиром на то да ће се разрада критеријума </w:t>
      </w:r>
      <w:r>
        <w:t xml:space="preserve">за службено задржавање на </w:t>
      </w:r>
      <w:r>
        <w:rPr>
          <w:lang w:val="sr-Cyrl-RS"/>
        </w:rPr>
        <w:t>граничном контролном месту</w:t>
      </w:r>
      <w:r>
        <w:t xml:space="preserve"> пошиљке</w:t>
      </w:r>
      <w:r>
        <w:rPr>
          <w:lang w:val="sr-Cyrl-RS"/>
        </w:rPr>
        <w:t xml:space="preserve">, укључујући и </w:t>
      </w:r>
      <w:r>
        <w:t>брзо кварљив</w:t>
      </w:r>
      <w:r>
        <w:rPr>
          <w:lang w:val="sr-Cyrl-RS"/>
        </w:rPr>
        <w:t>у</w:t>
      </w:r>
      <w:r>
        <w:t xml:space="preserve"> роб</w:t>
      </w:r>
      <w:r>
        <w:rPr>
          <w:lang w:val="sr-Cyrl-RS"/>
        </w:rPr>
        <w:t xml:space="preserve">у, ближе одредити документованим процедурама за спровођење службених контрола и </w:t>
      </w:r>
      <w:r>
        <w:t>годишњим планом службених контрола за сваку област на коју се овај закон примењује</w:t>
      </w:r>
      <w:r>
        <w:rPr>
          <w:lang w:val="sr-Cyrl-RS"/>
        </w:rPr>
        <w:t>.</w:t>
      </w:r>
    </w:p>
    <w:p w14:paraId="32A64AF2" w14:textId="77777777" w:rsidR="006731C8" w:rsidRDefault="006731C8" w:rsidP="006731C8">
      <w:pPr>
        <w:tabs>
          <w:tab w:val="left" w:pos="1440"/>
        </w:tabs>
        <w:ind w:firstLine="720"/>
        <w:rPr>
          <w:lang w:val="sr-Cyrl-RS"/>
        </w:rPr>
      </w:pPr>
      <w:r>
        <w:rPr>
          <w:lang w:val="sr-Cyrl-RS"/>
        </w:rPr>
        <w:tab/>
        <w:t>Напомињемо да се и сада поступа на начин како је навео учесник консултативног процеса.</w:t>
      </w:r>
    </w:p>
    <w:p w14:paraId="3095ED2C" w14:textId="77777777" w:rsidR="006731C8" w:rsidRDefault="006731C8" w:rsidP="006731C8">
      <w:pPr>
        <w:tabs>
          <w:tab w:val="left" w:pos="1440"/>
        </w:tabs>
        <w:ind w:firstLine="720"/>
      </w:pPr>
      <w:r>
        <w:tab/>
        <w:t>(14) У члану 62. Нацрта закона предложено је да се став 2. брише, односно речи: „Ради спровођења службене контроле и других службених активности, послове лабораторијског испитивања и дијагностике узорака обавља Дирекција за националне референтне лабораторије, у складу са законом којим се уређује безбедност хране.” Предложено не може да се прихвати, с обзиром да је Дирекција за националне референтне лабораторије основана Законом о безбедности хране („Службени гласник РС”, број 41/09) у коме је прописано које све послове обавља, где је, између осталог, дефинисано да обавља и послове у вези са лабораторијским испитивањима у области безбедности хране и хране за животиње, испитивањима квалитета млека, лабораторијским и другим пословима из области здравља биља, семена и садног материјала. Сходно томе, послови Дирекције за националне референтне лабораторије су и послови лабораторијских испитивања, то је Дирекција за националне референтне лабораторије већ Законом о безбедности хране одређена да ради лабораторијска испитивања ради службене контроле и других службених активности за методе за које је акредитована.</w:t>
      </w:r>
    </w:p>
    <w:p w14:paraId="02B880DD" w14:textId="77777777" w:rsidR="006731C8" w:rsidRDefault="006731C8" w:rsidP="006731C8">
      <w:pPr>
        <w:tabs>
          <w:tab w:val="left" w:pos="1440"/>
        </w:tabs>
        <w:ind w:firstLine="720"/>
      </w:pPr>
      <w:r>
        <w:tab/>
        <w:t xml:space="preserve">(15) Предложено је да се брише члан 66. Нацрта закона који се односи на одступања од захтева обавезне акредитације свих метода у областима здравља биља, материјала који долазе у додир са храном, адитива, ензима и арома за храну, као и адитива за храну за животиње. Предложено се не може прихватити, с обзиром на то да је оваква одредба прописана Уредбом </w:t>
      </w:r>
      <w:r>
        <w:rPr>
          <w:lang w:val="ru-RU"/>
        </w:rPr>
        <w:t>(ЕУ) 2017/625</w:t>
      </w:r>
      <w:r>
        <w:rPr>
          <w:bCs/>
          <w:lang w:val="ru-RU"/>
        </w:rPr>
        <w:t xml:space="preserve"> </w:t>
      </w:r>
      <w:r>
        <w:t xml:space="preserve">са којом се врши хармонизација. Оваква одредба представља изузетак, одступање од захтева обавезне акредитације метода у областима здравља биља, материјала који долазе у додир са храном, адитива, ензима и арома за храну, као и адитива за храну за животиње и као таква је неопходна за прописане случајеве уз испуњење прописаних захтева. </w:t>
      </w:r>
    </w:p>
    <w:p w14:paraId="7B344385" w14:textId="77777777" w:rsidR="006731C8" w:rsidRDefault="006731C8" w:rsidP="006731C8">
      <w:pPr>
        <w:tabs>
          <w:tab w:val="left" w:pos="1440"/>
        </w:tabs>
        <w:ind w:firstLine="720"/>
      </w:pPr>
      <w:r>
        <w:tab/>
        <w:t>Напомињемо, да је Нацртом закона прописан каскадни избор метода које се користе за узорковање, анализу, тестирање и дијагнозу:</w:t>
      </w:r>
    </w:p>
    <w:p w14:paraId="1F0F5017" w14:textId="77777777" w:rsidR="006731C8" w:rsidRDefault="006731C8" w:rsidP="006731C8">
      <w:pPr>
        <w:tabs>
          <w:tab w:val="left" w:pos="1440"/>
        </w:tabs>
        <w:ind w:firstLine="720"/>
      </w:pPr>
      <w:r>
        <w:tab/>
        <w:t xml:space="preserve">1) ПРВА каскада: </w:t>
      </w:r>
    </w:p>
    <w:p w14:paraId="298035D5" w14:textId="77777777" w:rsidR="006731C8" w:rsidRDefault="006731C8" w:rsidP="006731C8">
      <w:pPr>
        <w:tabs>
          <w:tab w:val="left" w:pos="1440"/>
        </w:tabs>
        <w:ind w:firstLine="720"/>
        <w:rPr>
          <w:lang w:val="ru-RU"/>
        </w:rPr>
      </w:pPr>
      <w:r>
        <w:tab/>
        <w:t xml:space="preserve">- методе </w:t>
      </w:r>
      <w:r>
        <w:rPr>
          <w:lang w:val="ru-RU"/>
        </w:rPr>
        <w:t>морају бити у складу са прописима којима се утврђују те методе или захтевима прихватљивости за те методе;</w:t>
      </w:r>
    </w:p>
    <w:p w14:paraId="369DFE0D" w14:textId="77777777" w:rsidR="006731C8" w:rsidRDefault="006731C8" w:rsidP="006731C8">
      <w:pPr>
        <w:tabs>
          <w:tab w:val="left" w:pos="1440"/>
        </w:tabs>
        <w:ind w:firstLine="720"/>
      </w:pPr>
      <w:r>
        <w:rPr>
          <w:lang w:val="ru-RU"/>
        </w:rPr>
        <w:tab/>
        <w:t xml:space="preserve">2) </w:t>
      </w:r>
      <w:r>
        <w:t>ДРУГА каскада:</w:t>
      </w:r>
    </w:p>
    <w:p w14:paraId="6628121C" w14:textId="77777777" w:rsidR="006731C8" w:rsidRDefault="006731C8" w:rsidP="006731C8">
      <w:pPr>
        <w:tabs>
          <w:tab w:val="left" w:pos="1440"/>
        </w:tabs>
        <w:ind w:firstLine="720"/>
      </w:pPr>
      <w:r>
        <w:tab/>
        <w:t xml:space="preserve">- методе које су у складу са релевантним </w:t>
      </w:r>
      <w:r>
        <w:rPr>
          <w:lang w:val="ru-RU"/>
        </w:rPr>
        <w:t>међународно признатим правилима, односно протоколима, укључујући протоколе усвојене од стране надлежног тела за стандардизацију, или релевантне методе развијене или препоручне од стране референтних лабораторија Европске уније које су верификоване, односно валидиране у складу са међународно признатим научним протоколима</w:t>
      </w:r>
      <w:r>
        <w:t>;</w:t>
      </w:r>
    </w:p>
    <w:p w14:paraId="2A4BB0C3" w14:textId="77777777" w:rsidR="006731C8" w:rsidRDefault="006731C8" w:rsidP="006731C8">
      <w:pPr>
        <w:tabs>
          <w:tab w:val="left" w:pos="1440"/>
        </w:tabs>
        <w:ind w:firstLine="720"/>
      </w:pPr>
      <w:r>
        <w:tab/>
        <w:t>3) ТРЕЋА каскада:</w:t>
      </w:r>
    </w:p>
    <w:p w14:paraId="34C8F498" w14:textId="77777777" w:rsidR="006731C8" w:rsidRDefault="006731C8" w:rsidP="006731C8">
      <w:pPr>
        <w:tabs>
          <w:tab w:val="left" w:pos="1440"/>
        </w:tabs>
        <w:ind w:firstLine="720"/>
      </w:pPr>
      <w:r>
        <w:tab/>
        <w:t xml:space="preserve">- </w:t>
      </w:r>
      <w:r>
        <w:rPr>
          <w:lang w:val="ru-RU"/>
        </w:rPr>
        <w:t>релевантне методе које су развиле или препоручиле реферетне лабораторије Републике Србије и које су верификоване, односно валидиране у складу са међународно признатим научним протоколима</w:t>
      </w:r>
      <w:r>
        <w:t>; или</w:t>
      </w:r>
    </w:p>
    <w:p w14:paraId="1C5C3733" w14:textId="77777777" w:rsidR="006731C8" w:rsidRDefault="006731C8" w:rsidP="006731C8">
      <w:pPr>
        <w:keepNext/>
        <w:keepLines/>
        <w:tabs>
          <w:tab w:val="left" w:pos="1440"/>
        </w:tabs>
        <w:ind w:firstLine="720"/>
      </w:pPr>
      <w:r>
        <w:tab/>
        <w:t>- релевантне методе развијене и верификоване, односно валидиране у складу са међулабораторијским или унутарлабораторијским тестовима верификације, односно валидације метода са међународно прихваћеним научним протоколима.</w:t>
      </w:r>
    </w:p>
    <w:p w14:paraId="18BE5A0D" w14:textId="77777777" w:rsidR="006731C8" w:rsidRDefault="006731C8" w:rsidP="006731C8">
      <w:pPr>
        <w:tabs>
          <w:tab w:val="left" w:pos="1440"/>
        </w:tabs>
        <w:ind w:firstLine="720"/>
      </w:pPr>
      <w:r>
        <w:tab/>
        <w:t>(16) У члану 71. Нацрта закона предложено је да се став 2. брише, односно речи: „Конкурс се не расписује за обављање послова референтне лабораторије за методе за које је акредитована Дирекција за националне референтне лабораторије.” Предложено се не може прихватити, с обзиром на то да је Дирекција за националне референтне лабораторије основана Законом о безбедности хране, којим су утврђени њени задаци и надлежности.</w:t>
      </w:r>
    </w:p>
    <w:p w14:paraId="599152E1" w14:textId="77777777" w:rsidR="006731C8" w:rsidRDefault="006731C8" w:rsidP="006731C8">
      <w:pPr>
        <w:shd w:val="clear" w:color="auto" w:fill="FFFFFF"/>
        <w:tabs>
          <w:tab w:val="left" w:pos="1440"/>
        </w:tabs>
        <w:ind w:firstLine="720"/>
      </w:pPr>
      <w:r>
        <w:tab/>
        <w:t>(17) У члану 93. Нацрта закна предложено је да се размотри примена овог закона на пропис који уређује ветеринарско медицинске производе, односно поставило се питање статуса тог прописа. Предложено се не прихвата, с обзиром на то да су ветеринарско медицински производи изузети од примене Нацрта закона и предмет су уређења новог закона којим се прописују ветеринарско медицински производи.</w:t>
      </w:r>
    </w:p>
    <w:p w14:paraId="37255762" w14:textId="77777777" w:rsidR="006731C8" w:rsidRDefault="006731C8" w:rsidP="006731C8">
      <w:pPr>
        <w:shd w:val="clear" w:color="auto" w:fill="FFFFFF"/>
        <w:tabs>
          <w:tab w:val="left" w:pos="1440"/>
        </w:tabs>
        <w:ind w:firstLine="720"/>
      </w:pPr>
      <w:r>
        <w:tab/>
        <w:t>Такође, приликом додатних разматрања текста Нацрта закона од стране представника Министарства, коригованe су и одредбе појединих чланова ради бољег и прецизнијег нормирања истих, у циљу ефикасније примене, а што није изменило циљ и суштину одредаба Нацрта закона.</w:t>
      </w:r>
    </w:p>
    <w:p w14:paraId="0CA82651" w14:textId="77777777" w:rsidR="006B24CD" w:rsidRDefault="006B24CD"/>
    <w:sectPr w:rsidR="006B24CD" w:rsidSect="007A28A8">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A6154D" w14:textId="77777777" w:rsidR="007A28A8" w:rsidRDefault="007A28A8" w:rsidP="007A28A8">
      <w:r>
        <w:separator/>
      </w:r>
    </w:p>
  </w:endnote>
  <w:endnote w:type="continuationSeparator" w:id="0">
    <w:p w14:paraId="33ED1C79" w14:textId="77777777" w:rsidR="007A28A8" w:rsidRDefault="007A28A8" w:rsidP="007A2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78563" w14:textId="77777777" w:rsidR="007A28A8" w:rsidRDefault="007A28A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CFE765" w14:textId="77777777" w:rsidR="007A28A8" w:rsidRDefault="007A28A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47735E" w14:textId="77777777" w:rsidR="007A28A8" w:rsidRDefault="007A28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0C3FCE" w14:textId="77777777" w:rsidR="007A28A8" w:rsidRDefault="007A28A8" w:rsidP="007A28A8">
      <w:r>
        <w:separator/>
      </w:r>
    </w:p>
  </w:footnote>
  <w:footnote w:type="continuationSeparator" w:id="0">
    <w:p w14:paraId="4DCF2577" w14:textId="77777777" w:rsidR="007A28A8" w:rsidRDefault="007A28A8" w:rsidP="007A28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3454A2" w14:textId="77777777" w:rsidR="007A28A8" w:rsidRDefault="007A28A8" w:rsidP="00EC53D8">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0B2F34F5" w14:textId="77777777" w:rsidR="007A28A8" w:rsidRDefault="007A28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9FD0C0" w14:textId="3290A06E" w:rsidR="007A28A8" w:rsidRDefault="007A28A8" w:rsidP="00EC53D8">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p w14:paraId="427011C2" w14:textId="77777777" w:rsidR="007A28A8" w:rsidRDefault="007A28A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409BAE" w14:textId="77777777" w:rsidR="007A28A8" w:rsidRDefault="007A28A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2"/>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31C8"/>
    <w:rsid w:val="006731C8"/>
    <w:rsid w:val="006B24CD"/>
    <w:rsid w:val="007A28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43CCA5"/>
  <w15:chartTrackingRefBased/>
  <w15:docId w15:val="{FCD18AFE-8A60-449E-9F81-FEE35DC4A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731C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uiPriority w:val="99"/>
    <w:qFormat/>
    <w:rsid w:val="006731C8"/>
    <w:pPr>
      <w:tabs>
        <w:tab w:val="left" w:pos="567"/>
      </w:tabs>
      <w:spacing w:before="120" w:after="160" w:line="240" w:lineRule="exact"/>
      <w:ind w:left="1584" w:hanging="504"/>
      <w:jc w:val="left"/>
    </w:pPr>
    <w:rPr>
      <w:rFonts w:ascii="Arial" w:hAnsi="Arial"/>
      <w:b/>
      <w:bCs/>
      <w:color w:val="000000"/>
    </w:rPr>
  </w:style>
  <w:style w:type="character" w:styleId="Hyperlink">
    <w:name w:val="Hyperlink"/>
    <w:uiPriority w:val="99"/>
    <w:unhideWhenUsed/>
    <w:rsid w:val="006731C8"/>
    <w:rPr>
      <w:color w:val="0000FF"/>
      <w:u w:val="single"/>
    </w:rPr>
  </w:style>
  <w:style w:type="paragraph" w:styleId="Header">
    <w:name w:val="header"/>
    <w:basedOn w:val="Normal"/>
    <w:link w:val="HeaderChar"/>
    <w:uiPriority w:val="99"/>
    <w:unhideWhenUsed/>
    <w:rsid w:val="007A28A8"/>
    <w:pPr>
      <w:tabs>
        <w:tab w:val="center" w:pos="4680"/>
        <w:tab w:val="right" w:pos="9360"/>
      </w:tabs>
    </w:pPr>
  </w:style>
  <w:style w:type="character" w:customStyle="1" w:styleId="HeaderChar">
    <w:name w:val="Header Char"/>
    <w:basedOn w:val="DefaultParagraphFont"/>
    <w:link w:val="Header"/>
    <w:uiPriority w:val="99"/>
    <w:rsid w:val="007A28A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A28A8"/>
    <w:pPr>
      <w:tabs>
        <w:tab w:val="center" w:pos="4680"/>
        <w:tab w:val="right" w:pos="9360"/>
      </w:tabs>
    </w:pPr>
  </w:style>
  <w:style w:type="character" w:customStyle="1" w:styleId="FooterChar">
    <w:name w:val="Footer Char"/>
    <w:basedOn w:val="DefaultParagraphFont"/>
    <w:link w:val="Footer"/>
    <w:uiPriority w:val="99"/>
    <w:rsid w:val="007A28A8"/>
    <w:rPr>
      <w:rFonts w:ascii="Times New Roman" w:eastAsia="Times New Roman" w:hAnsi="Times New Roman" w:cs="Times New Roman"/>
      <w:sz w:val="24"/>
      <w:szCs w:val="24"/>
    </w:rPr>
  </w:style>
  <w:style w:type="character" w:styleId="PageNumber">
    <w:name w:val="page number"/>
    <w:basedOn w:val="DefaultParagraphFont"/>
    <w:uiPriority w:val="99"/>
    <w:semiHidden/>
    <w:unhideWhenUsed/>
    <w:rsid w:val="007A28A8"/>
  </w:style>
  <w:style w:type="paragraph" w:styleId="BalloonText">
    <w:name w:val="Balloon Text"/>
    <w:basedOn w:val="Normal"/>
    <w:link w:val="BalloonTextChar"/>
    <w:uiPriority w:val="99"/>
    <w:semiHidden/>
    <w:unhideWhenUsed/>
    <w:rsid w:val="007A28A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A28A8"/>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mailto:sluzbenekontrole@minpolj.gov.rs"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konsultacije.gov.rs/topicOfDiscussionPage/484/3"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2622</Words>
  <Characters>14952</Characters>
  <Application>Microsoft Office Word</Application>
  <DocSecurity>0</DocSecurity>
  <Lines>124</Lines>
  <Paragraphs>35</Paragraphs>
  <ScaleCrop>false</ScaleCrop>
  <Company/>
  <LinksUpToDate>false</LinksUpToDate>
  <CharactersWithSpaces>17539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Ljubinkovic</dc:creator>
  <cp:keywords/>
  <dc:description/>
  <cp:lastModifiedBy>Daktilobiro06</cp:lastModifiedBy>
  <cp:revision>2</cp:revision>
  <cp:lastPrinted>2025-11-05T12:16:00Z</cp:lastPrinted>
  <dcterms:created xsi:type="dcterms:W3CDTF">2025-11-05T12:09:00Z</dcterms:created>
  <dcterms:modified xsi:type="dcterms:W3CDTF">2025-11-05T12:16:00Z</dcterms:modified>
</cp:coreProperties>
</file>